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napToGrid w:val="0"/>
      </w:pPr>
      <w:r>
        <w:t>2027国考招录变化与报名策略分析</w:t>
      </w:r>
    </w:p>
    <w:p>
      <w:pPr>
        <w:spacing w:line="260" w:lineRule="exact"/>
        <w:snapToGrid w:val="0"/>
      </w:pPr>
      <w:r>
        <w:rPr>
          <w:color w:val="52616E"/>
          <w:sz w:val="17"/>
        </w:rPr>
        <w:t>蜻蜓生涯研究院  ·  基于2022至2027年职位表  ·  2026年10月14日</w:t>
      </w:r>
    </w:p>
    <w:p>
      <w:pPr>
        <w:snapToGrid w:val="0"/>
      </w:pPr>
      <w:r>
        <w:t>2027年国考计划招录35,691人，比2026年减少2,428人，降幅6.37%。对准备报名的考生而言，更值得研究的是名额减少在哪里、哪些条件仍然有用，以及自己的专业和经历能对应哪些具体职位。全国总量回落，并不能直接推出每个人的报考机会都按相同比例减少。</w:t>
      </w:r>
    </w:p>
    <w:p>
      <w:pPr>
        <w:snapToGrid w:val="0"/>
      </w:pPr>
      <w:r>
        <w:t>本文对蜻蜓数据库中2022至2027年共114,298条国考职位记录进行统计，并结合2027年官方公告分析报考安排。主要发现是：税务仍占计划人数的三分之二左右，部分省份逆势增加；铁路公安从低位回升，金融监管财会类需求增加；县区基层仍是招录主体，本科生仍有较宽的学历适配范围。最终选择要落实到职位表中的专业、届别、经历和工作地点。</w:t>
      </w:r>
    </w:p>
    <w:p>
      <w:pPr>
        <w:pStyle w:val="Heading1"/>
        <w:snapToGrid w:val="0"/>
      </w:pPr>
      <w:r>
        <w:t>一 六年招录规模变化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531"/>
        <w:gridCol w:w="2268"/>
        <w:gridCol w:w="2494"/>
        <w:gridCol w:w="2778"/>
      </w:tblGrid>
      <w:tr>
        <w:trPr>
          <w:cantSplit/>
          <w:tblHeader/>
        </w:trPr>
        <w:tc>
          <w:tcPr>
            <w:tcW w:type="dxa" w:w="1531"/>
            <w:vAlign w:val="center"/>
            <w:shd w:fill="E9EFF4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/>
                <w:sz w:val="18"/>
              </w:rPr>
              <w:t>招考年度</w:t>
            </w:r>
          </w:p>
        </w:tc>
        <w:tc>
          <w:tcPr>
            <w:tcW w:type="dxa" w:w="2268"/>
            <w:vAlign w:val="center"/>
            <w:shd w:fill="E9EFF4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/>
                <w:sz w:val="18"/>
              </w:rPr>
              <w:t>职位数</w:t>
            </w:r>
          </w:p>
        </w:tc>
        <w:tc>
          <w:tcPr>
            <w:tcW w:type="dxa" w:w="2494"/>
            <w:vAlign w:val="center"/>
            <w:shd w:fill="E9EFF4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/>
                <w:sz w:val="18"/>
              </w:rPr>
              <w:t>计划招录人数</w:t>
            </w:r>
          </w:p>
        </w:tc>
        <w:tc>
          <w:tcPr>
            <w:tcW w:type="dxa" w:w="2778"/>
            <w:vAlign w:val="center"/>
            <w:shd w:fill="E9EFF4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/>
                <w:sz w:val="18"/>
              </w:rPr>
              <w:t>人数同比</w:t>
            </w:r>
          </w:p>
        </w:tc>
      </w:tr>
      <w:tr>
        <w:trPr>
          <w:cantSplit/>
        </w:trPr>
        <w:tc>
          <w:tcPr>
            <w:tcW w:type="dxa" w:w="1531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 w:val="0"/>
                <w:sz w:val="18"/>
              </w:rPr>
              <w:t>2022</w:t>
            </w:r>
          </w:p>
        </w:tc>
        <w:tc>
          <w:tcPr>
            <w:tcW w:type="dxa" w:w="2268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16,745</w:t>
            </w:r>
          </w:p>
        </w:tc>
        <w:tc>
          <w:tcPr>
            <w:tcW w:type="dxa" w:w="2494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31,242</w:t>
            </w:r>
          </w:p>
        </w:tc>
        <w:tc>
          <w:tcPr>
            <w:tcW w:type="dxa" w:w="2778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1531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 w:val="0"/>
                <w:sz w:val="18"/>
              </w:rPr>
              <w:t>2023</w:t>
            </w:r>
          </w:p>
        </w:tc>
        <w:tc>
          <w:tcPr>
            <w:tcW w:type="dxa" w:w="2268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17,655</w:t>
            </w:r>
          </w:p>
        </w:tc>
        <w:tc>
          <w:tcPr>
            <w:tcW w:type="dxa" w:w="2494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37,100</w:t>
            </w:r>
          </w:p>
        </w:tc>
        <w:tc>
          <w:tcPr>
            <w:tcW w:type="dxa" w:w="2778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+18.75%</w:t>
            </w:r>
          </w:p>
        </w:tc>
      </w:tr>
      <w:tr>
        <w:trPr>
          <w:cantSplit/>
        </w:trPr>
        <w:tc>
          <w:tcPr>
            <w:tcW w:type="dxa" w:w="1531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 w:val="0"/>
                <w:sz w:val="18"/>
              </w:rPr>
              <w:t>2024</w:t>
            </w:r>
          </w:p>
        </w:tc>
        <w:tc>
          <w:tcPr>
            <w:tcW w:type="dxa" w:w="2268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18,948</w:t>
            </w:r>
          </w:p>
        </w:tc>
        <w:tc>
          <w:tcPr>
            <w:tcW w:type="dxa" w:w="2494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39,561</w:t>
            </w:r>
          </w:p>
        </w:tc>
        <w:tc>
          <w:tcPr>
            <w:tcW w:type="dxa" w:w="2778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+6.63%</w:t>
            </w:r>
          </w:p>
        </w:tc>
      </w:tr>
      <w:tr>
        <w:trPr>
          <w:cantSplit/>
        </w:trPr>
        <w:tc>
          <w:tcPr>
            <w:tcW w:type="dxa" w:w="1531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 w:val="0"/>
                <w:sz w:val="18"/>
              </w:rPr>
              <w:t>2025</w:t>
            </w:r>
          </w:p>
        </w:tc>
        <w:tc>
          <w:tcPr>
            <w:tcW w:type="dxa" w:w="2268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20,810</w:t>
            </w:r>
          </w:p>
        </w:tc>
        <w:tc>
          <w:tcPr>
            <w:tcW w:type="dxa" w:w="2494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39,721</w:t>
            </w:r>
          </w:p>
        </w:tc>
        <w:tc>
          <w:tcPr>
            <w:tcW w:type="dxa" w:w="2778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+0.40%</w:t>
            </w:r>
          </w:p>
        </w:tc>
      </w:tr>
      <w:tr>
        <w:trPr>
          <w:cantSplit/>
        </w:trPr>
        <w:tc>
          <w:tcPr>
            <w:tcW w:type="dxa" w:w="1531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 w:val="0"/>
                <w:sz w:val="18"/>
              </w:rPr>
              <w:t>2026</w:t>
            </w:r>
          </w:p>
        </w:tc>
        <w:tc>
          <w:tcPr>
            <w:tcW w:type="dxa" w:w="2268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20,714</w:t>
            </w:r>
          </w:p>
        </w:tc>
        <w:tc>
          <w:tcPr>
            <w:tcW w:type="dxa" w:w="2494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38,119</w:t>
            </w:r>
          </w:p>
        </w:tc>
        <w:tc>
          <w:tcPr>
            <w:tcW w:type="dxa" w:w="2778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-4.03%</w:t>
            </w:r>
          </w:p>
        </w:tc>
      </w:tr>
      <w:tr>
        <w:trPr>
          <w:cantSplit/>
        </w:trPr>
        <w:tc>
          <w:tcPr>
            <w:tcW w:type="dxa" w:w="1531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 w:val="0"/>
                <w:sz w:val="18"/>
              </w:rPr>
              <w:t>2027</w:t>
            </w:r>
          </w:p>
        </w:tc>
        <w:tc>
          <w:tcPr>
            <w:tcW w:type="dxa" w:w="2268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19,426</w:t>
            </w:r>
          </w:p>
        </w:tc>
        <w:tc>
          <w:tcPr>
            <w:tcW w:type="dxa" w:w="2494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35,691</w:t>
            </w:r>
          </w:p>
        </w:tc>
        <w:tc>
          <w:tcPr>
            <w:tcW w:type="dxa" w:w="2778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-6.37%</w:t>
            </w:r>
          </w:p>
        </w:tc>
      </w:tr>
    </w:tbl>
    <w:p>
      <w:pPr>
        <w:spacing w:after="0" w:before="0" w:line="60" w:lineRule="exact"/>
        <w:snapToGrid w:val="0"/>
      </w:pPr>
      <w:r>
        <w:rPr>
          <w:sz w:val="6"/>
        </w:rPr>
      </w:r>
    </w:p>
    <w:p>
      <w:pPr>
        <w:snapToGrid w:val="0"/>
      </w:pPr>
      <w:r>
        <w:t>六年数据可分为两段：2022至2025年，计划人数从31,242人增至39,721人；2026、2027年连续回落。2027年较2025年减少4,030人，但仍比2022年多4,449人。以最近高点或较早年份为基准，会得到不同感受，因此不能只截取一个年份制造“历史最难”或“机会最多”的印象。</w:t>
      </w:r>
    </w:p>
    <w:p>
      <w:pPr>
        <w:snapToGrid w:val="0"/>
      </w:pPr>
      <w:r>
        <w:t>2027年职位数同比减少6.22%，平均每个职位招录1.837人，和2026年的1.840人接近。整体变化更多体现为职位条目减少，而不是平均每岗人数大幅下降。职位数反映选择的入口，招录人数反映计划名额，两者应分开看。</w:t>
      </w:r>
    </w:p>
    <w:p>
      <w:pPr>
        <w:spacing w:line="260" w:lineRule="exact"/>
        <w:snapToGrid w:val="0"/>
      </w:pPr>
      <w:r>
        <w:rPr>
          <w:color w:val="52616E"/>
          <w:sz w:val="17"/>
        </w:rPr>
        <w:t>数据口径：按招考年度统计职位表计划，2027年度对应2026年报名和笔试。本文人数均为计划人数，不是最终录用人数；同比＝（本年－上年）÷上年。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t>二 主要系统出现明显分化</w:t>
      </w:r>
    </w:p>
    <w:p>
      <w:pPr>
        <w:snapToGrid w:val="0"/>
      </w:pPr>
      <w:r>
        <w:t>税务、海关和人民银行三类合计比上年减少2,091人，占全国净减少人数的86.12%。但金融监管整体相对稳定，铁路公安和矿山安全监察增加。应当把“全国少招了”继续拆成系统、地区和具体专业，才对选岗有实际价值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81"/>
        <w:gridCol w:w="1701"/>
        <w:gridCol w:w="1701"/>
        <w:gridCol w:w="1587"/>
        <w:gridCol w:w="1701"/>
      </w:tblGrid>
      <w:tr>
        <w:trPr>
          <w:cantSplit/>
          <w:tblHeader/>
        </w:trPr>
        <w:tc>
          <w:tcPr>
            <w:tcW w:type="dxa" w:w="2381"/>
            <w:vAlign w:val="center"/>
            <w:shd w:fill="E9EFF4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/>
                <w:sz w:val="18"/>
              </w:rPr>
              <w:t>系统归类</w:t>
            </w:r>
          </w:p>
        </w:tc>
        <w:tc>
          <w:tcPr>
            <w:tcW w:type="dxa" w:w="1701"/>
            <w:vAlign w:val="center"/>
            <w:shd w:fill="E9EFF4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/>
                <w:sz w:val="18"/>
              </w:rPr>
              <w:t>2026人数</w:t>
            </w:r>
          </w:p>
        </w:tc>
        <w:tc>
          <w:tcPr>
            <w:tcW w:type="dxa" w:w="1701"/>
            <w:vAlign w:val="center"/>
            <w:shd w:fill="E9EFF4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/>
                <w:sz w:val="18"/>
              </w:rPr>
              <w:t>2027人数</w:t>
            </w:r>
          </w:p>
        </w:tc>
        <w:tc>
          <w:tcPr>
            <w:tcW w:type="dxa" w:w="1587"/>
            <w:vAlign w:val="center"/>
            <w:shd w:fill="E9EFF4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/>
                <w:sz w:val="18"/>
              </w:rPr>
              <w:t>增减人数</w:t>
            </w:r>
          </w:p>
        </w:tc>
        <w:tc>
          <w:tcPr>
            <w:tcW w:type="dxa" w:w="1701"/>
            <w:vAlign w:val="center"/>
            <w:shd w:fill="E9EFF4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/>
                <w:sz w:val="18"/>
              </w:rPr>
              <w:t>同比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 w:val="0"/>
                <w:sz w:val="18"/>
              </w:rPr>
              <w:t>税务</w:t>
            </w:r>
          </w:p>
        </w:tc>
        <w:tc>
          <w:tcPr>
            <w:tcW w:type="dxa" w:w="1701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25,004</w:t>
            </w:r>
          </w:p>
        </w:tc>
        <w:tc>
          <w:tcPr>
            <w:tcW w:type="dxa" w:w="1701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24,013</w:t>
            </w:r>
          </w:p>
        </w:tc>
        <w:tc>
          <w:tcPr>
            <w:tcW w:type="dxa" w:w="1587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-991</w:t>
            </w:r>
          </w:p>
        </w:tc>
        <w:tc>
          <w:tcPr>
            <w:tcW w:type="dxa" w:w="1701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-3.96%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 w:val="0"/>
                <w:sz w:val="18"/>
              </w:rPr>
              <w:t>金融监管</w:t>
            </w:r>
          </w:p>
        </w:tc>
        <w:tc>
          <w:tcPr>
            <w:tcW w:type="dxa" w:w="1701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2,459</w:t>
            </w:r>
          </w:p>
        </w:tc>
        <w:tc>
          <w:tcPr>
            <w:tcW w:type="dxa" w:w="1701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2,431</w:t>
            </w:r>
          </w:p>
        </w:tc>
        <w:tc>
          <w:tcPr>
            <w:tcW w:type="dxa" w:w="1587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-28</w:t>
            </w:r>
          </w:p>
        </w:tc>
        <w:tc>
          <w:tcPr>
            <w:tcW w:type="dxa" w:w="1701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-1.14%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 w:val="0"/>
                <w:sz w:val="18"/>
              </w:rPr>
              <w:t>人民银行</w:t>
            </w:r>
          </w:p>
        </w:tc>
        <w:tc>
          <w:tcPr>
            <w:tcW w:type="dxa" w:w="1701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2,780</w:t>
            </w:r>
          </w:p>
        </w:tc>
        <w:tc>
          <w:tcPr>
            <w:tcW w:type="dxa" w:w="1701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2,366</w:t>
            </w:r>
          </w:p>
        </w:tc>
        <w:tc>
          <w:tcPr>
            <w:tcW w:type="dxa" w:w="1587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-414</w:t>
            </w:r>
          </w:p>
        </w:tc>
        <w:tc>
          <w:tcPr>
            <w:tcW w:type="dxa" w:w="1701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-14.89%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 w:val="0"/>
                <w:sz w:val="18"/>
              </w:rPr>
              <w:t>海关含缉私</w:t>
            </w:r>
          </w:p>
        </w:tc>
        <w:tc>
          <w:tcPr>
            <w:tcW w:type="dxa" w:w="1701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2,763</w:t>
            </w:r>
          </w:p>
        </w:tc>
        <w:tc>
          <w:tcPr>
            <w:tcW w:type="dxa" w:w="1701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2,077</w:t>
            </w:r>
          </w:p>
        </w:tc>
        <w:tc>
          <w:tcPr>
            <w:tcW w:type="dxa" w:w="1587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-686</w:t>
            </w:r>
          </w:p>
        </w:tc>
        <w:tc>
          <w:tcPr>
            <w:tcW w:type="dxa" w:w="1701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-24.83%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 w:val="0"/>
                <w:sz w:val="18"/>
              </w:rPr>
              <w:t>移民管理</w:t>
            </w:r>
          </w:p>
        </w:tc>
        <w:tc>
          <w:tcPr>
            <w:tcW w:type="dxa" w:w="1701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1,231</w:t>
            </w:r>
          </w:p>
        </w:tc>
        <w:tc>
          <w:tcPr>
            <w:tcW w:type="dxa" w:w="1701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1,089</w:t>
            </w:r>
          </w:p>
        </w:tc>
        <w:tc>
          <w:tcPr>
            <w:tcW w:type="dxa" w:w="1587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-142</w:t>
            </w:r>
          </w:p>
        </w:tc>
        <w:tc>
          <w:tcPr>
            <w:tcW w:type="dxa" w:w="1701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-11.54%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 w:val="0"/>
                <w:sz w:val="18"/>
              </w:rPr>
              <w:t>海事</w:t>
            </w:r>
          </w:p>
        </w:tc>
        <w:tc>
          <w:tcPr>
            <w:tcW w:type="dxa" w:w="1701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670</w:t>
            </w:r>
          </w:p>
        </w:tc>
        <w:tc>
          <w:tcPr>
            <w:tcW w:type="dxa" w:w="1701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667</w:t>
            </w:r>
          </w:p>
        </w:tc>
        <w:tc>
          <w:tcPr>
            <w:tcW w:type="dxa" w:w="1587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-3</w:t>
            </w:r>
          </w:p>
        </w:tc>
        <w:tc>
          <w:tcPr>
            <w:tcW w:type="dxa" w:w="1701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-0.45%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 w:val="0"/>
                <w:sz w:val="18"/>
              </w:rPr>
              <w:t>铁路公安</w:t>
            </w:r>
          </w:p>
        </w:tc>
        <w:tc>
          <w:tcPr>
            <w:tcW w:type="dxa" w:w="1701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479</w:t>
            </w:r>
          </w:p>
        </w:tc>
        <w:tc>
          <w:tcPr>
            <w:tcW w:type="dxa" w:w="1701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640</w:t>
            </w:r>
          </w:p>
        </w:tc>
        <w:tc>
          <w:tcPr>
            <w:tcW w:type="dxa" w:w="1587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+161</w:t>
            </w:r>
          </w:p>
        </w:tc>
        <w:tc>
          <w:tcPr>
            <w:tcW w:type="dxa" w:w="1701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+33.61%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 w:val="0"/>
                <w:sz w:val="18"/>
              </w:rPr>
              <w:t>统计</w:t>
            </w:r>
          </w:p>
        </w:tc>
        <w:tc>
          <w:tcPr>
            <w:tcW w:type="dxa" w:w="1701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502</w:t>
            </w:r>
          </w:p>
        </w:tc>
        <w:tc>
          <w:tcPr>
            <w:tcW w:type="dxa" w:w="1701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386</w:t>
            </w:r>
          </w:p>
        </w:tc>
        <w:tc>
          <w:tcPr>
            <w:tcW w:type="dxa" w:w="1587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-116</w:t>
            </w:r>
          </w:p>
        </w:tc>
        <w:tc>
          <w:tcPr>
            <w:tcW w:type="dxa" w:w="1701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-23.11%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 w:val="0"/>
                <w:sz w:val="18"/>
              </w:rPr>
              <w:t>证监</w:t>
            </w:r>
          </w:p>
        </w:tc>
        <w:tc>
          <w:tcPr>
            <w:tcW w:type="dxa" w:w="1701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347</w:t>
            </w:r>
          </w:p>
        </w:tc>
        <w:tc>
          <w:tcPr>
            <w:tcW w:type="dxa" w:w="1701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320</w:t>
            </w:r>
          </w:p>
        </w:tc>
        <w:tc>
          <w:tcPr>
            <w:tcW w:type="dxa" w:w="1587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-27</w:t>
            </w:r>
          </w:p>
        </w:tc>
        <w:tc>
          <w:tcPr>
            <w:tcW w:type="dxa" w:w="1701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-7.78%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 w:val="0"/>
                <w:sz w:val="18"/>
              </w:rPr>
              <w:t>气象</w:t>
            </w:r>
          </w:p>
        </w:tc>
        <w:tc>
          <w:tcPr>
            <w:tcW w:type="dxa" w:w="1701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265</w:t>
            </w:r>
          </w:p>
        </w:tc>
        <w:tc>
          <w:tcPr>
            <w:tcW w:type="dxa" w:w="1701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192</w:t>
            </w:r>
          </w:p>
        </w:tc>
        <w:tc>
          <w:tcPr>
            <w:tcW w:type="dxa" w:w="1587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-73</w:t>
            </w:r>
          </w:p>
        </w:tc>
        <w:tc>
          <w:tcPr>
            <w:tcW w:type="dxa" w:w="1701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-27.55%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 w:val="0"/>
                <w:sz w:val="18"/>
              </w:rPr>
              <w:t>矿山安全监察</w:t>
            </w:r>
          </w:p>
        </w:tc>
        <w:tc>
          <w:tcPr>
            <w:tcW w:type="dxa" w:w="1701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87</w:t>
            </w:r>
          </w:p>
        </w:tc>
        <w:tc>
          <w:tcPr>
            <w:tcW w:type="dxa" w:w="1701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141</w:t>
            </w:r>
          </w:p>
        </w:tc>
        <w:tc>
          <w:tcPr>
            <w:tcW w:type="dxa" w:w="1587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+54</w:t>
            </w:r>
          </w:p>
        </w:tc>
        <w:tc>
          <w:tcPr>
            <w:tcW w:type="dxa" w:w="1701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+62.07%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 w:val="0"/>
                <w:sz w:val="18"/>
              </w:rPr>
              <w:t>审计署</w:t>
            </w:r>
          </w:p>
        </w:tc>
        <w:tc>
          <w:tcPr>
            <w:tcW w:type="dxa" w:w="1701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94</w:t>
            </w:r>
          </w:p>
        </w:tc>
        <w:tc>
          <w:tcPr>
            <w:tcW w:type="dxa" w:w="1701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82</w:t>
            </w:r>
          </w:p>
        </w:tc>
        <w:tc>
          <w:tcPr>
            <w:tcW w:type="dxa" w:w="1587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-12</w:t>
            </w:r>
          </w:p>
        </w:tc>
        <w:tc>
          <w:tcPr>
            <w:tcW w:type="dxa" w:w="1701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-12.77%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 w:val="0"/>
                <w:sz w:val="18"/>
              </w:rPr>
              <w:t>邮政管理</w:t>
            </w:r>
          </w:p>
        </w:tc>
        <w:tc>
          <w:tcPr>
            <w:tcW w:type="dxa" w:w="1701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98</w:t>
            </w:r>
          </w:p>
        </w:tc>
        <w:tc>
          <w:tcPr>
            <w:tcW w:type="dxa" w:w="1701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53</w:t>
            </w:r>
          </w:p>
        </w:tc>
        <w:tc>
          <w:tcPr>
            <w:tcW w:type="dxa" w:w="1587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-45</w:t>
            </w:r>
          </w:p>
        </w:tc>
        <w:tc>
          <w:tcPr>
            <w:tcW w:type="dxa" w:w="1701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-45.92%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 w:val="0"/>
                <w:sz w:val="18"/>
              </w:rPr>
              <w:t>其他部门</w:t>
            </w:r>
          </w:p>
        </w:tc>
        <w:tc>
          <w:tcPr>
            <w:tcW w:type="dxa" w:w="1701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1,340</w:t>
            </w:r>
          </w:p>
        </w:tc>
        <w:tc>
          <w:tcPr>
            <w:tcW w:type="dxa" w:w="1701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1,234</w:t>
            </w:r>
          </w:p>
        </w:tc>
        <w:tc>
          <w:tcPr>
            <w:tcW w:type="dxa" w:w="1587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-106</w:t>
            </w:r>
          </w:p>
        </w:tc>
        <w:tc>
          <w:tcPr>
            <w:tcW w:type="dxa" w:w="1701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-7.91%</w:t>
            </w:r>
          </w:p>
        </w:tc>
      </w:tr>
    </w:tbl>
    <w:p>
      <w:pPr>
        <w:spacing w:after="0" w:before="0" w:line="60" w:lineRule="exact"/>
        <w:snapToGrid w:val="0"/>
      </w:pPr>
      <w:r>
        <w:rPr>
          <w:sz w:val="6"/>
        </w:rPr>
      </w:r>
    </w:p>
    <w:p>
      <w:pPr>
        <w:snapToGrid w:val="0"/>
      </w:pPr>
      <w:r>
        <w:t>税务招录24,013人，占全国67.28%，仍然是大量考生必须认真研究的方向。不过，“税务岗位多”不等于专业不限，也不等于每个县局容易考。学历对应的专业范围、应届限制、最低服务年限以及工作地点，会继续缩小可报范围。</w:t>
      </w:r>
    </w:p>
    <w:p>
      <w:pPr>
        <w:snapToGrid w:val="0"/>
      </w:pPr>
      <w:r>
        <w:t>铁路公安从479人增至640人，增幅33.61%，但2024年曾招2,913人、2025年招1,719人。这是低基数上的回升，不能描述为历史性扩招。矿山安全监察增长62.07%，总量也只有141人，而且部分岗位有明确的矿山一线经历要求。</w:t>
      </w:r>
    </w:p>
    <w:p>
      <w:pPr>
        <w:spacing w:line="260" w:lineRule="exact"/>
        <w:snapToGrid w:val="0"/>
      </w:pPr>
      <w:r>
        <w:rPr>
          <w:color w:val="52616E"/>
          <w:sz w:val="17"/>
        </w:rPr>
        <w:t>本表为按招录机关名称归类的统计口径，金融监管包含原银保监对应系统，海关包含缉私；各类别互斥并合计35,691人。机构改革、名称和招录范围变化会影响长期可比性，不把早年表内某系统条目少解释为当年全系统招聘少。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t>三 同一系统也要分地区选择</w:t>
      </w:r>
    </w:p>
    <w:p>
      <w:pPr>
        <w:snapToGrid w:val="0"/>
      </w:pPr>
      <w:r>
        <w:t>全国税务计划减少991人，但云南税务增加400人、安徽税务增加300人。与此同时，新疆、贵州等地减少。对愿意跨地区发展的考生来说，增加省份值得加入备选；对必须留在某地的考生来说，全国平均变化并不能代替本地职位清单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082"/>
        <w:gridCol w:w="1587"/>
        <w:gridCol w:w="1701"/>
        <w:gridCol w:w="1701"/>
      </w:tblGrid>
      <w:tr>
        <w:trPr>
          <w:cantSplit/>
          <w:tblHeader/>
        </w:trPr>
        <w:tc>
          <w:tcPr>
            <w:tcW w:type="dxa" w:w="4082"/>
            <w:vAlign w:val="center"/>
            <w:shd w:fill="E9EFF4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/>
                <w:sz w:val="18"/>
              </w:rPr>
              <w:t>代表招录机关</w:t>
            </w:r>
          </w:p>
        </w:tc>
        <w:tc>
          <w:tcPr>
            <w:tcW w:type="dxa" w:w="1587"/>
            <w:vAlign w:val="center"/>
            <w:shd w:fill="E9EFF4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/>
                <w:sz w:val="18"/>
              </w:rPr>
              <w:t>2026人数</w:t>
            </w:r>
          </w:p>
        </w:tc>
        <w:tc>
          <w:tcPr>
            <w:tcW w:type="dxa" w:w="1701"/>
            <w:vAlign w:val="center"/>
            <w:shd w:fill="E9EFF4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/>
                <w:sz w:val="18"/>
              </w:rPr>
              <w:t>2027人数</w:t>
            </w:r>
          </w:p>
        </w:tc>
        <w:tc>
          <w:tcPr>
            <w:tcW w:type="dxa" w:w="1701"/>
            <w:vAlign w:val="center"/>
            <w:shd w:fill="E9EFF4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/>
                <w:sz w:val="18"/>
              </w:rPr>
              <w:t>增减人数</w:t>
            </w:r>
          </w:p>
        </w:tc>
      </w:tr>
      <w:tr>
        <w:trPr>
          <w:cantSplit/>
        </w:trPr>
        <w:tc>
          <w:tcPr>
            <w:tcW w:type="dxa" w:w="4082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 w:val="0"/>
                <w:sz w:val="18"/>
              </w:rPr>
              <w:t>云南省税务局</w:t>
            </w:r>
          </w:p>
        </w:tc>
        <w:tc>
          <w:tcPr>
            <w:tcW w:type="dxa" w:w="1587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1,000</w:t>
            </w:r>
          </w:p>
        </w:tc>
        <w:tc>
          <w:tcPr>
            <w:tcW w:type="dxa" w:w="1701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1,400</w:t>
            </w:r>
          </w:p>
        </w:tc>
        <w:tc>
          <w:tcPr>
            <w:tcW w:type="dxa" w:w="1701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+400</w:t>
            </w:r>
          </w:p>
        </w:tc>
      </w:tr>
      <w:tr>
        <w:trPr>
          <w:cantSplit/>
        </w:trPr>
        <w:tc>
          <w:tcPr>
            <w:tcW w:type="dxa" w:w="4082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 w:val="0"/>
                <w:sz w:val="18"/>
              </w:rPr>
              <w:t>安徽省税务局</w:t>
            </w:r>
          </w:p>
        </w:tc>
        <w:tc>
          <w:tcPr>
            <w:tcW w:type="dxa" w:w="1587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900</w:t>
            </w:r>
          </w:p>
        </w:tc>
        <w:tc>
          <w:tcPr>
            <w:tcW w:type="dxa" w:w="1701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1,200</w:t>
            </w:r>
          </w:p>
        </w:tc>
        <w:tc>
          <w:tcPr>
            <w:tcW w:type="dxa" w:w="1701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+300</w:t>
            </w:r>
          </w:p>
        </w:tc>
      </w:tr>
      <w:tr>
        <w:trPr>
          <w:cantSplit/>
        </w:trPr>
        <w:tc>
          <w:tcPr>
            <w:tcW w:type="dxa" w:w="4082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 w:val="0"/>
                <w:sz w:val="18"/>
              </w:rPr>
              <w:t>广州铁路公安局</w:t>
            </w:r>
          </w:p>
        </w:tc>
        <w:tc>
          <w:tcPr>
            <w:tcW w:type="dxa" w:w="1587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41</w:t>
            </w:r>
          </w:p>
        </w:tc>
        <w:tc>
          <w:tcPr>
            <w:tcW w:type="dxa" w:w="1701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145</w:t>
            </w:r>
          </w:p>
        </w:tc>
        <w:tc>
          <w:tcPr>
            <w:tcW w:type="dxa" w:w="1701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+104</w:t>
            </w:r>
          </w:p>
        </w:tc>
      </w:tr>
      <w:tr>
        <w:trPr>
          <w:cantSplit/>
        </w:trPr>
        <w:tc>
          <w:tcPr>
            <w:tcW w:type="dxa" w:w="4082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 w:val="0"/>
                <w:sz w:val="18"/>
              </w:rPr>
              <w:t>山东省税务局</w:t>
            </w:r>
          </w:p>
        </w:tc>
        <w:tc>
          <w:tcPr>
            <w:tcW w:type="dxa" w:w="1587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1,500</w:t>
            </w:r>
          </w:p>
        </w:tc>
        <w:tc>
          <w:tcPr>
            <w:tcW w:type="dxa" w:w="1701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1,600</w:t>
            </w:r>
          </w:p>
        </w:tc>
        <w:tc>
          <w:tcPr>
            <w:tcW w:type="dxa" w:w="1701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+100</w:t>
            </w:r>
          </w:p>
        </w:tc>
      </w:tr>
      <w:tr>
        <w:trPr>
          <w:cantSplit/>
        </w:trPr>
        <w:tc>
          <w:tcPr>
            <w:tcW w:type="dxa" w:w="4082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 w:val="0"/>
                <w:sz w:val="18"/>
              </w:rPr>
              <w:t>金融监管总局安徽监管局</w:t>
            </w:r>
          </w:p>
        </w:tc>
        <w:tc>
          <w:tcPr>
            <w:tcW w:type="dxa" w:w="1587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64</w:t>
            </w:r>
          </w:p>
        </w:tc>
        <w:tc>
          <w:tcPr>
            <w:tcW w:type="dxa" w:w="1701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141</w:t>
            </w:r>
          </w:p>
        </w:tc>
        <w:tc>
          <w:tcPr>
            <w:tcW w:type="dxa" w:w="1701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+77</w:t>
            </w:r>
          </w:p>
        </w:tc>
      </w:tr>
      <w:tr>
        <w:trPr>
          <w:cantSplit/>
        </w:trPr>
        <w:tc>
          <w:tcPr>
            <w:tcW w:type="dxa" w:w="4082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 w:val="0"/>
                <w:sz w:val="18"/>
              </w:rPr>
              <w:t>金融监管总局福建监管局</w:t>
            </w:r>
          </w:p>
        </w:tc>
        <w:tc>
          <w:tcPr>
            <w:tcW w:type="dxa" w:w="1587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58</w:t>
            </w:r>
          </w:p>
        </w:tc>
        <w:tc>
          <w:tcPr>
            <w:tcW w:type="dxa" w:w="1701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130</w:t>
            </w:r>
          </w:p>
        </w:tc>
        <w:tc>
          <w:tcPr>
            <w:tcW w:type="dxa" w:w="1701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+72</w:t>
            </w:r>
          </w:p>
        </w:tc>
      </w:tr>
      <w:tr>
        <w:trPr>
          <w:cantSplit/>
        </w:trPr>
        <w:tc>
          <w:tcPr>
            <w:tcW w:type="dxa" w:w="4082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 w:val="0"/>
                <w:sz w:val="18"/>
              </w:rPr>
              <w:t>南昌铁路公安局</w:t>
            </w:r>
          </w:p>
        </w:tc>
        <w:tc>
          <w:tcPr>
            <w:tcW w:type="dxa" w:w="1587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10</w:t>
            </w:r>
          </w:p>
        </w:tc>
        <w:tc>
          <w:tcPr>
            <w:tcW w:type="dxa" w:w="1701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80</w:t>
            </w:r>
          </w:p>
        </w:tc>
        <w:tc>
          <w:tcPr>
            <w:tcW w:type="dxa" w:w="1701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+70</w:t>
            </w:r>
          </w:p>
        </w:tc>
      </w:tr>
      <w:tr>
        <w:trPr>
          <w:cantSplit/>
        </w:trPr>
        <w:tc>
          <w:tcPr>
            <w:tcW w:type="dxa" w:w="4082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 w:val="0"/>
                <w:sz w:val="18"/>
              </w:rPr>
              <w:t>深圳边检总站</w:t>
            </w:r>
          </w:p>
        </w:tc>
        <w:tc>
          <w:tcPr>
            <w:tcW w:type="dxa" w:w="1587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40</w:t>
            </w:r>
          </w:p>
        </w:tc>
        <w:tc>
          <w:tcPr>
            <w:tcW w:type="dxa" w:w="1701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110</w:t>
            </w:r>
          </w:p>
        </w:tc>
        <w:tc>
          <w:tcPr>
            <w:tcW w:type="dxa" w:w="1701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+70</w:t>
            </w:r>
          </w:p>
        </w:tc>
      </w:tr>
      <w:tr>
        <w:trPr>
          <w:cantSplit/>
        </w:trPr>
        <w:tc>
          <w:tcPr>
            <w:tcW w:type="dxa" w:w="4082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 w:val="0"/>
                <w:sz w:val="18"/>
              </w:rPr>
              <w:t>新疆维吾尔自治区税务局</w:t>
            </w:r>
          </w:p>
        </w:tc>
        <w:tc>
          <w:tcPr>
            <w:tcW w:type="dxa" w:w="1587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700</w:t>
            </w:r>
          </w:p>
        </w:tc>
        <w:tc>
          <w:tcPr>
            <w:tcW w:type="dxa" w:w="1701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400</w:t>
            </w:r>
          </w:p>
        </w:tc>
        <w:tc>
          <w:tcPr>
            <w:tcW w:type="dxa" w:w="1701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-300</w:t>
            </w:r>
          </w:p>
        </w:tc>
      </w:tr>
      <w:tr>
        <w:trPr>
          <w:cantSplit/>
        </w:trPr>
        <w:tc>
          <w:tcPr>
            <w:tcW w:type="dxa" w:w="4082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 w:val="0"/>
                <w:sz w:val="18"/>
              </w:rPr>
              <w:t>贵州省税务局</w:t>
            </w:r>
          </w:p>
        </w:tc>
        <w:tc>
          <w:tcPr>
            <w:tcW w:type="dxa" w:w="1587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450</w:t>
            </w:r>
          </w:p>
        </w:tc>
        <w:tc>
          <w:tcPr>
            <w:tcW w:type="dxa" w:w="1701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200</w:t>
            </w:r>
          </w:p>
        </w:tc>
        <w:tc>
          <w:tcPr>
            <w:tcW w:type="dxa" w:w="1701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-250</w:t>
            </w:r>
          </w:p>
        </w:tc>
      </w:tr>
      <w:tr>
        <w:trPr>
          <w:cantSplit/>
        </w:trPr>
        <w:tc>
          <w:tcPr>
            <w:tcW w:type="dxa" w:w="4082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 w:val="0"/>
                <w:sz w:val="18"/>
              </w:rPr>
              <w:t>浙江省税务局</w:t>
            </w:r>
          </w:p>
        </w:tc>
        <w:tc>
          <w:tcPr>
            <w:tcW w:type="dxa" w:w="1587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700</w:t>
            </w:r>
          </w:p>
        </w:tc>
        <w:tc>
          <w:tcPr>
            <w:tcW w:type="dxa" w:w="1701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500</w:t>
            </w:r>
          </w:p>
        </w:tc>
        <w:tc>
          <w:tcPr>
            <w:tcW w:type="dxa" w:w="1701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-200</w:t>
            </w:r>
          </w:p>
        </w:tc>
      </w:tr>
      <w:tr>
        <w:trPr>
          <w:cantSplit/>
        </w:trPr>
        <w:tc>
          <w:tcPr>
            <w:tcW w:type="dxa" w:w="4082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 w:val="0"/>
                <w:sz w:val="18"/>
              </w:rPr>
              <w:t>福建省税务局</w:t>
            </w:r>
          </w:p>
        </w:tc>
        <w:tc>
          <w:tcPr>
            <w:tcW w:type="dxa" w:w="1587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900</w:t>
            </w:r>
          </w:p>
        </w:tc>
        <w:tc>
          <w:tcPr>
            <w:tcW w:type="dxa" w:w="1701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700</w:t>
            </w:r>
          </w:p>
        </w:tc>
        <w:tc>
          <w:tcPr>
            <w:tcW w:type="dxa" w:w="1701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-200</w:t>
            </w:r>
          </w:p>
        </w:tc>
      </w:tr>
      <w:tr>
        <w:trPr>
          <w:cantSplit/>
        </w:trPr>
        <w:tc>
          <w:tcPr>
            <w:tcW w:type="dxa" w:w="4082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 w:val="0"/>
                <w:sz w:val="18"/>
              </w:rPr>
              <w:t>西藏边检总站</w:t>
            </w:r>
          </w:p>
        </w:tc>
        <w:tc>
          <w:tcPr>
            <w:tcW w:type="dxa" w:w="1587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180</w:t>
            </w:r>
          </w:p>
        </w:tc>
        <w:tc>
          <w:tcPr>
            <w:tcW w:type="dxa" w:w="1701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10</w:t>
            </w:r>
          </w:p>
        </w:tc>
        <w:tc>
          <w:tcPr>
            <w:tcW w:type="dxa" w:w="1701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-170</w:t>
            </w:r>
          </w:p>
        </w:tc>
      </w:tr>
      <w:tr>
        <w:trPr>
          <w:cantSplit/>
        </w:trPr>
        <w:tc>
          <w:tcPr>
            <w:tcW w:type="dxa" w:w="4082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 w:val="0"/>
                <w:sz w:val="18"/>
              </w:rPr>
              <w:t>拱北海关</w:t>
            </w:r>
          </w:p>
        </w:tc>
        <w:tc>
          <w:tcPr>
            <w:tcW w:type="dxa" w:w="1587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230</w:t>
            </w:r>
          </w:p>
        </w:tc>
        <w:tc>
          <w:tcPr>
            <w:tcW w:type="dxa" w:w="1701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110</w:t>
            </w:r>
          </w:p>
        </w:tc>
        <w:tc>
          <w:tcPr>
            <w:tcW w:type="dxa" w:w="1701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-120</w:t>
            </w:r>
          </w:p>
        </w:tc>
      </w:tr>
      <w:tr>
        <w:trPr>
          <w:cantSplit/>
        </w:trPr>
        <w:tc>
          <w:tcPr>
            <w:tcW w:type="dxa" w:w="4082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 w:val="0"/>
                <w:sz w:val="18"/>
              </w:rPr>
              <w:t>海口海关</w:t>
            </w:r>
          </w:p>
        </w:tc>
        <w:tc>
          <w:tcPr>
            <w:tcW w:type="dxa" w:w="1587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150</w:t>
            </w:r>
          </w:p>
        </w:tc>
        <w:tc>
          <w:tcPr>
            <w:tcW w:type="dxa" w:w="1701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40</w:t>
            </w:r>
          </w:p>
        </w:tc>
        <w:tc>
          <w:tcPr>
            <w:tcW w:type="dxa" w:w="1701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-110</w:t>
            </w:r>
          </w:p>
        </w:tc>
      </w:tr>
      <w:tr>
        <w:trPr>
          <w:cantSplit/>
        </w:trPr>
        <w:tc>
          <w:tcPr>
            <w:tcW w:type="dxa" w:w="4082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 w:val="0"/>
                <w:sz w:val="18"/>
              </w:rPr>
              <w:t>成都铁路公安局</w:t>
            </w:r>
          </w:p>
        </w:tc>
        <w:tc>
          <w:tcPr>
            <w:tcW w:type="dxa" w:w="1587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158</w:t>
            </w:r>
          </w:p>
        </w:tc>
        <w:tc>
          <w:tcPr>
            <w:tcW w:type="dxa" w:w="1701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53</w:t>
            </w:r>
          </w:p>
        </w:tc>
        <w:tc>
          <w:tcPr>
            <w:tcW w:type="dxa" w:w="1701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-105</w:t>
            </w:r>
          </w:p>
        </w:tc>
      </w:tr>
    </w:tbl>
    <w:p>
      <w:pPr>
        <w:spacing w:after="0" w:before="0" w:line="60" w:lineRule="exact"/>
        <w:snapToGrid w:val="0"/>
      </w:pPr>
      <w:r>
        <w:rPr>
          <w:sz w:val="6"/>
        </w:rPr>
      </w:r>
    </w:p>
    <w:p>
      <w:pPr>
        <w:snapToGrid w:val="0"/>
      </w:pPr>
      <w:r>
        <w:t>这些变化提供的是继续查找的方向。省级税务局名下的计划覆盖不同市县，机关名称不等于实际工作地点；铁路公安局下属用人单位也可能跨省。报名时应同时查看“用人司局”和“工作地点”，不能看到“广州铁路公安局”就默认所有职位都在广州市区。</w:t>
      </w:r>
    </w:p>
    <w:p>
      <w:pPr>
        <w:snapToGrid w:val="0"/>
      </w:pPr>
      <w:r>
        <w:t>扩招本身也可能吸引更多人报名。只有把名额变化与本人资格、同一时点的审查通过人数、岗位吸引力结合起来，才能进一步判断竞争；现阶段不能给这些单位贴上“低竞争”标签。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t>四 职位名称没变也可能已经不适合你</w:t>
      </w:r>
    </w:p>
    <w:p>
      <w:pPr>
        <w:snapToGrid w:val="0"/>
      </w:pPr>
      <w:r>
        <w:t>逐条核对2026、2027年职位表，有12,205组部门代码与职位代码在两年均出现。其中，8,460组的招录机关、用人司局和职位名称也一致。即使这些信息一致，招录人数、专业或经历要求仍可能变化。职位编码用于定位当年条目，不能当作永久不变的岗位身份。</w:t>
      </w:r>
    </w:p>
    <w:p>
      <w:pPr>
        <w:pStyle w:val="Heading2"/>
        <w:snapToGrid w:val="0"/>
      </w:pPr>
      <w:r>
        <w:t>人民银行不同分行的同类职位方向相反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669"/>
        <w:gridCol w:w="1701"/>
        <w:gridCol w:w="1701"/>
      </w:tblGrid>
      <w:tr>
        <w:trPr>
          <w:cantSplit/>
          <w:tblHeader/>
        </w:trPr>
        <w:tc>
          <w:tcPr>
            <w:tcW w:type="dxa" w:w="5669"/>
            <w:vAlign w:val="center"/>
            <w:shd w:fill="E9EFF4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/>
                <w:sz w:val="18"/>
              </w:rPr>
              <w:t>招录机关及职位</w:t>
            </w:r>
          </w:p>
        </w:tc>
        <w:tc>
          <w:tcPr>
            <w:tcW w:type="dxa" w:w="1701"/>
            <w:vAlign w:val="center"/>
            <w:shd w:fill="E9EFF4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/>
                <w:sz w:val="18"/>
              </w:rPr>
              <w:t>2026人数</w:t>
            </w:r>
          </w:p>
        </w:tc>
        <w:tc>
          <w:tcPr>
            <w:tcW w:type="dxa" w:w="1701"/>
            <w:vAlign w:val="center"/>
            <w:shd w:fill="E9EFF4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/>
                <w:sz w:val="18"/>
              </w:rPr>
              <w:t>2027人数</w:t>
            </w:r>
          </w:p>
        </w:tc>
      </w:tr>
      <w:tr>
        <w:trPr>
          <w:cantSplit/>
        </w:trPr>
        <w:tc>
          <w:tcPr>
            <w:tcW w:type="dxa" w:w="5669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 w:val="0"/>
                <w:sz w:val="18"/>
              </w:rPr>
              <w:t>人民银行天津市分行</w:t>
              <w:br/>
              <w:t>综合业务部门一级主任科员及以下</w:t>
            </w:r>
          </w:p>
        </w:tc>
        <w:tc>
          <w:tcPr>
            <w:tcW w:type="dxa" w:w="1701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12</w:t>
            </w:r>
          </w:p>
        </w:tc>
        <w:tc>
          <w:tcPr>
            <w:tcW w:type="dxa" w:w="1701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4</w:t>
            </w:r>
          </w:p>
        </w:tc>
      </w:tr>
      <w:tr>
        <w:trPr>
          <w:cantSplit/>
        </w:trPr>
        <w:tc>
          <w:tcPr>
            <w:tcW w:type="dxa" w:w="5669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 w:val="0"/>
                <w:sz w:val="18"/>
              </w:rPr>
              <w:t>人民银行北京市分行</w:t>
              <w:br/>
              <w:t>综合业务部门一级主任科员及以下</w:t>
            </w:r>
          </w:p>
        </w:tc>
        <w:tc>
          <w:tcPr>
            <w:tcW w:type="dxa" w:w="1701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1701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9</w:t>
            </w:r>
          </w:p>
        </w:tc>
      </w:tr>
      <w:tr>
        <w:trPr>
          <w:cantSplit/>
        </w:trPr>
        <w:tc>
          <w:tcPr>
            <w:tcW w:type="dxa" w:w="5669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 w:val="0"/>
                <w:sz w:val="18"/>
              </w:rPr>
              <w:t>人民银行宁波市分行</w:t>
              <w:br/>
              <w:t>综合业务部门一级主任科员及以下</w:t>
            </w:r>
          </w:p>
        </w:tc>
        <w:tc>
          <w:tcPr>
            <w:tcW w:type="dxa" w:w="1701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1701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9</w:t>
            </w:r>
          </w:p>
        </w:tc>
      </w:tr>
    </w:tbl>
    <w:p>
      <w:pPr>
        <w:spacing w:after="0" w:before="0" w:line="60" w:lineRule="exact"/>
        <w:snapToGrid w:val="0"/>
      </w:pPr>
      <w:r>
        <w:rPr>
          <w:sz w:val="6"/>
        </w:rPr>
      </w:r>
    </w:p>
    <w:p>
      <w:pPr>
        <w:spacing w:line="260" w:lineRule="exact"/>
        <w:snapToGrid w:val="0"/>
      </w:pPr>
      <w:r>
        <w:rPr>
          <w:color w:val="52616E"/>
          <w:sz w:val="17"/>
        </w:rPr>
        <w:t>上述三条职位代码均为300110001001，分别对应部门代码126103、126102、126133。代码必须与部门一起使用。</w:t>
      </w:r>
    </w:p>
    <w:p>
      <w:pPr>
        <w:snapToGrid w:val="0"/>
      </w:pPr>
      <w:r>
        <w:t>人民银行系统整体减少414人，但这三个具体职位呈现不同变化。对专业和学历均符合的考生而言，北京、宁波这两条职位的计划名额增加，值得重新比较；城市吸引力、竞争人数和考试实力仍须分别判断。</w:t>
      </w:r>
    </w:p>
    <w:p>
      <w:pPr>
        <w:pStyle w:val="Heading2"/>
        <w:snapToGrid w:val="0"/>
      </w:pPr>
      <w:r>
        <w:t>审计职位由财经方向转向工程方向</w:t>
      </w:r>
    </w:p>
    <w:p>
      <w:pPr>
        <w:snapToGrid w:val="0"/>
      </w:pPr>
      <w:r>
        <w:t>审计署驻哈尔滨特派员办事处“审计业务处一级主任科员及以下”，部门代码127104、职位代码300110001001，计划从9人减为2人。2026年该条目列有财政学、税收学、金融学、会计学、审计学、财务管理；2027年改为土木工程、道路桥梁与渡河工程、测绘工程、遥感科学与技术等工程和测绘方向。学历要求也从硕士研究生及以上调整为本科及以上。完整名称与其他要求见当年职位表。</w:t>
      </w:r>
    </w:p>
    <w:p>
      <w:pPr>
        <w:snapToGrid w:val="0"/>
      </w:pPr>
      <w:r>
        <w:t>这不是只看“减了7人”就能解释的变化。去年能报的财经类考生，今年可能不再符合这一条；符合新专业范围的工程类考生，则获得了不同的选择。去年的进面分数即便能找到，也不能直接视为今年的同类竞争基准。</w:t>
      </w:r>
    </w:p>
    <w:p>
      <w:pPr>
        <w:pStyle w:val="Heading2"/>
        <w:snapToGrid w:val="0"/>
      </w:pPr>
      <w:r>
        <w:t>把当年原文放在筛选结论前面</w:t>
      </w:r>
    </w:p>
    <w:p>
      <w:pPr>
        <w:snapToGrid w:val="0"/>
      </w:pPr>
      <w:r>
        <w:t>专业检索要同时核对毕业证上的完整专业名称、专业代码、学历学位层次和备注。硕士专业名单中出现“数学”，不代表同一条目的本科专业也接受数学；学科大类、具体专业和研究方向也不能随意互换。名称存在争议时，带着完整学历专业信息咨询招录机关并保留答复记录。</w:t>
      </w:r>
    </w:p>
    <w:p>
      <w:pPr>
        <w:spacing w:line="260" w:lineRule="exact"/>
        <w:snapToGrid w:val="0"/>
      </w:pPr>
      <w:r>
        <w:rPr>
          <w:color w:val="52616E"/>
          <w:sz w:val="17"/>
        </w:rPr>
        <w:t>附表提供27,935组两年度职位编码并集的对照，包括仅单年出现的条目。专业文字变化包含排版和代码表述变化，不能把所有文本差异都解释为资格条件调整。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t>五 哪些考生仍有较宽的选择空间</w:t>
      </w:r>
    </w:p>
    <w:p>
      <w:pPr>
        <w:snapToGrid w:val="0"/>
      </w:pPr>
      <w:r>
        <w:t>判断“更友好”，要区分可选择名额较多、某项需求同比增长和实际竞争较低。前两项可以从职位表判断，最后一项还需要报名、参考和成绩数据。以下结论只讨论计划供给与资格结构。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665"/>
        <w:gridCol w:w="2438"/>
        <w:gridCol w:w="3969"/>
      </w:tblGrid>
      <w:tr>
        <w:trPr>
          <w:cantSplit/>
          <w:tblHeader/>
        </w:trPr>
        <w:tc>
          <w:tcPr>
            <w:tcW w:type="dxa" w:w="2665"/>
            <w:vAlign w:val="center"/>
            <w:shd w:fill="E9EFF4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/>
                <w:sz w:val="18"/>
              </w:rPr>
              <w:t>考生条件或方向</w:t>
            </w:r>
          </w:p>
        </w:tc>
        <w:tc>
          <w:tcPr>
            <w:tcW w:type="dxa" w:w="2438"/>
            <w:vAlign w:val="center"/>
            <w:shd w:fill="E9EFF4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/>
                <w:sz w:val="18"/>
              </w:rPr>
              <w:t>2027年计划依据</w:t>
            </w:r>
          </w:p>
        </w:tc>
        <w:tc>
          <w:tcPr>
            <w:tcW w:type="dxa" w:w="3969"/>
            <w:vAlign w:val="center"/>
            <w:shd w:fill="E9EFF4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/>
                <w:sz w:val="18"/>
              </w:rPr>
              <w:t>应当怎样理解</w:t>
            </w:r>
          </w:p>
        </w:tc>
      </w:tr>
      <w:tr>
        <w:trPr>
          <w:cantSplit/>
        </w:trPr>
        <w:tc>
          <w:tcPr>
            <w:tcW w:type="dxa" w:w="2665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 w:val="0"/>
                <w:sz w:val="18"/>
              </w:rPr>
              <w:t>本科学历符合门槛</w:t>
            </w:r>
          </w:p>
        </w:tc>
        <w:tc>
          <w:tcPr>
            <w:tcW w:type="dxa" w:w="2438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17,068个职位</w:t>
              <w:br/>
              <w:t>31,835人</w:t>
            </w:r>
          </w:p>
        </w:tc>
        <w:tc>
          <w:tcPr>
            <w:tcW w:type="dxa" w:w="3969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只通过学历这一项筛选</w:t>
              <w:br/>
              <w:t>仍须核对专业和届别</w:t>
            </w:r>
          </w:p>
        </w:tc>
      </w:tr>
      <w:tr>
        <w:trPr>
          <w:cantSplit/>
        </w:trPr>
        <w:tc>
          <w:tcPr>
            <w:tcW w:type="dxa" w:w="2665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 w:val="0"/>
                <w:sz w:val="18"/>
              </w:rPr>
              <w:t>专科学历符合门槛</w:t>
            </w:r>
          </w:p>
        </w:tc>
        <w:tc>
          <w:tcPr>
            <w:tcW w:type="dxa" w:w="2438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15个职位</w:t>
              <w:br/>
              <w:t>40人</w:t>
            </w:r>
          </w:p>
        </w:tc>
        <w:tc>
          <w:tcPr>
            <w:tcW w:type="dxa" w:w="3969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全国选择范围很窄</w:t>
              <w:br/>
              <w:t>不宜只押注国考</w:t>
            </w:r>
          </w:p>
        </w:tc>
      </w:tr>
      <w:tr>
        <w:trPr>
          <w:cantSplit/>
        </w:trPr>
        <w:tc>
          <w:tcPr>
            <w:tcW w:type="dxa" w:w="2665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 w:val="0"/>
                <w:sz w:val="18"/>
              </w:rPr>
              <w:t>明确要求中共党员</w:t>
            </w:r>
          </w:p>
        </w:tc>
        <w:tc>
          <w:tcPr>
            <w:tcW w:type="dxa" w:w="2438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1,407个职位</w:t>
              <w:br/>
              <w:t>1,798人</w:t>
            </w:r>
          </w:p>
        </w:tc>
        <w:tc>
          <w:tcPr>
            <w:tcW w:type="dxa" w:w="3969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较2026年增加214人</w:t>
              <w:br/>
              <w:t>仍有其他报考条件</w:t>
            </w:r>
          </w:p>
        </w:tc>
      </w:tr>
      <w:tr>
        <w:trPr>
          <w:cantSplit/>
        </w:trPr>
        <w:tc>
          <w:tcPr>
            <w:tcW w:type="dxa" w:w="2665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 w:val="0"/>
                <w:sz w:val="18"/>
              </w:rPr>
              <w:t>基层工作年限无限制</w:t>
            </w:r>
          </w:p>
        </w:tc>
        <w:tc>
          <w:tcPr>
            <w:tcW w:type="dxa" w:w="2438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16,415个职位</w:t>
              <w:br/>
              <w:t>30,542人</w:t>
            </w:r>
          </w:p>
        </w:tc>
        <w:tc>
          <w:tcPr>
            <w:tcW w:type="dxa" w:w="3969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无需该项经历门槛</w:t>
              <w:br/>
              <w:t>不等于不限应届身份</w:t>
            </w:r>
          </w:p>
        </w:tc>
      </w:tr>
      <w:tr>
        <w:trPr>
          <w:cantSplit/>
        </w:trPr>
        <w:tc>
          <w:tcPr>
            <w:tcW w:type="dxa" w:w="2665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 w:val="0"/>
                <w:sz w:val="18"/>
              </w:rPr>
              <w:t>县区级及以下岗位</w:t>
            </w:r>
          </w:p>
        </w:tc>
        <w:tc>
          <w:tcPr>
            <w:tcW w:type="dxa" w:w="2438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14,005个职位</w:t>
              <w:br/>
              <w:t>26,873人</w:t>
            </w:r>
          </w:p>
        </w:tc>
        <w:tc>
          <w:tcPr>
            <w:tcW w:type="dxa" w:w="3969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占计划人数75.29%</w:t>
              <w:br/>
              <w:t>关注地点与服务期限</w:t>
            </w:r>
          </w:p>
        </w:tc>
      </w:tr>
      <w:tr>
        <w:trPr>
          <w:cantSplit/>
        </w:trPr>
        <w:tc>
          <w:tcPr>
            <w:tcW w:type="dxa" w:w="2665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 w:val="0"/>
                <w:sz w:val="18"/>
              </w:rPr>
              <w:t>金融监管财会类</w:t>
            </w:r>
          </w:p>
        </w:tc>
        <w:tc>
          <w:tcPr>
            <w:tcW w:type="dxa" w:w="2438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409个职位</w:t>
              <w:br/>
              <w:t>455人</w:t>
            </w:r>
          </w:p>
        </w:tc>
        <w:tc>
          <w:tcPr>
            <w:tcW w:type="dxa" w:w="3969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 w:val="0"/>
                <w:sz w:val="18"/>
              </w:rPr>
              <w:t>较上年增加31.88%</w:t>
              <w:br/>
              <w:t>需匹配专业并备考专业科目</w:t>
            </w:r>
          </w:p>
        </w:tc>
      </w:tr>
    </w:tbl>
    <w:p>
      <w:pPr>
        <w:spacing w:after="0" w:before="0" w:line="60" w:lineRule="exact"/>
        <w:snapToGrid w:val="0"/>
      </w:pPr>
      <w:r>
        <w:rPr>
          <w:sz w:val="6"/>
        </w:rPr>
      </w:r>
    </w:p>
    <w:p>
      <w:pPr>
        <w:pStyle w:val="Heading2"/>
        <w:snapToGrid w:val="0"/>
      </w:pPr>
      <w:r>
        <w:t>应届本科生仍是重要适配群体</w:t>
      </w:r>
    </w:p>
    <w:p>
      <w:pPr>
        <w:snapToGrid w:val="0"/>
      </w:pPr>
      <w:r>
        <w:t>官方介绍，今年安排约2.46万个计划招录应届高校毕业生。[2] 对专业匹配、愿意在基层任职的应届本科生，税务等系统仍提供较多入口。应届身份的认定必须看当年报考指南和具体备注；“限2027届”与其他应届口径不能混为一谈。学历上可报31,835人，也不能解读为每名本科生都能竞争这些名额。</w:t>
      </w:r>
    </w:p>
    <w:p>
      <w:pPr>
        <w:pStyle w:val="Heading2"/>
        <w:snapToGrid w:val="0"/>
      </w:pPr>
      <w:r>
        <w:t>研究生应寻找专业训练真正有用的岗位</w:t>
      </w:r>
    </w:p>
    <w:p>
      <w:pPr>
        <w:snapToGrid w:val="0"/>
      </w:pPr>
      <w:r>
        <w:t>仅从学历门槛看，硕士适配计划为32,022人；要求硕士及以上、仅硕士、仅博士的研究生专属计划合计3,831人，其中仅博士31人。硕士应优先比较本专业适配、岗位职责及专业考试，而非只看学历越高限制越多就一定更容易。学历适配范围存在交叉，本科与硕士人数不可相加。</w:t>
      </w:r>
    </w:p>
    <w:p>
      <w:pPr>
        <w:pStyle w:val="Heading2"/>
        <w:snapToGrid w:val="0"/>
      </w:pPr>
      <w:r>
        <w:t>党员和有基层经历的考生可用好已有条件</w:t>
      </w:r>
    </w:p>
    <w:p>
      <w:pPr>
        <w:snapToGrid w:val="0"/>
      </w:pPr>
      <w:r>
        <w:t>明确要求党员的计划同比增加13.51%，相应考生可以增加一组备选；政治面貌不限的计划仍有31,806人，占89.11%。往届或在职考生则需要逐项检查应届限制和经历证明。基层年限有要求的计划共5,149人，也并非所有社会工作经历都按同一规则认定。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t>六 专业优势要落实到岗位职责</w:t>
      </w:r>
    </w:p>
    <w:p>
      <w:pPr>
        <w:snapToGrid w:val="0"/>
      </w:pPr>
      <w:r>
        <w:t>不同专业的变化不能只用一个“考公热门榜”概括。金融监管财会类由345人增至455人，但财经类由969人减至872人，计算机类由478人减至459人。财会方向的增加有明确数据依据，把它泛化为“所有财经专业今年都更好考”则会误导考生。</w:t>
      </w:r>
    </w:p>
    <w:p>
      <w:pPr>
        <w:pStyle w:val="Heading2"/>
        <w:snapToGrid w:val="0"/>
      </w:pPr>
      <w:r>
        <w:t>财会与计算机考生要比较可报范围和专业考试</w:t>
      </w:r>
    </w:p>
    <w:p>
      <w:pPr>
        <w:snapToGrid w:val="0"/>
      </w:pPr>
      <w:r>
        <w:t>财会类考生可以在税务、金融监管等系统中逐条寻找对应专业；计算机类考生则应检查技术类和普通职位中的具体专业要求，不能只搜索职位类别中的“计算机”。金融监管财会、财经与综合类是不同分类，名称相似不意味着考试内容和专业门槛相同。专业基础好、愿意准备专业科目的考生，才更可能把专业限制转化为自身优势。</w:t>
      </w:r>
    </w:p>
    <w:p>
      <w:pPr>
        <w:pStyle w:val="Heading2"/>
        <w:snapToGrid w:val="0"/>
      </w:pPr>
      <w:r>
        <w:t>食品专业可以对接海关检验监管场景</w:t>
      </w:r>
    </w:p>
    <w:p>
      <w:pPr>
        <w:snapToGrid w:val="0"/>
      </w:pPr>
      <w:r>
        <w:t>北京海关下属天竺海关“食品监管四级主办及以下（一）”，职位代码300110007001，计划1人。本科专业列有食品科学与工程、食品质量与安全、食品安全与检测；硕士按食品科学与工程相应学科要求。该职位学历为本科或硕士，并有2027届、英语成绩、现场一线、最低服务年限及其他条件。</w:t>
      </w:r>
    </w:p>
    <w:p>
      <w:pPr>
        <w:snapToGrid w:val="0"/>
      </w:pPr>
      <w:r>
        <w:t>这个例子说明，小范围专业与岗位职责能形成较清楚的连接。但专业对口只是第一步：必须把原文中的全部条件逐项确认，尤其是体检、性别、服务年限和生活安排，不能仅凭专业名称就判定可报。对应另一性别的条目也应分别按职位代码核对。</w:t>
      </w:r>
    </w:p>
    <w:p>
      <w:pPr>
        <w:pStyle w:val="Heading2"/>
        <w:snapToGrid w:val="0"/>
      </w:pPr>
      <w:r>
        <w:t>气象和矿业方向更依赖完整条件组合</w:t>
      </w:r>
    </w:p>
    <w:p>
      <w:pPr>
        <w:snapToGrid w:val="0"/>
      </w:pPr>
      <w:r>
        <w:t>山西省长治市沁县气象局“一级科员及以下”，职位代码400149002001，计划1人，专业涉及大气科学、气象学、应用气象学，同时还有山西户籍或生源、最低服务年限等要求。对符合地域条件的相关专业考生，这是值得筛查的具体方向；对其他考生，专业对口仍不足以报考。</w:t>
      </w:r>
    </w:p>
    <w:p>
      <w:pPr>
        <w:snapToGrid w:val="0"/>
      </w:pPr>
      <w:r>
        <w:t>国家矿山安全监察局河北局“监察执法处三级主任科员及以下”，职位代码300149101001，计划2人，要求采矿工程、矿业工程等，并要求3年以上井工煤矿井下一线技术管理经历、近2年连续在职在岗等条件。它更适合满足条件的行业从业者，不能作为普通应届工科生的扩招机会。</w:t>
      </w:r>
    </w:p>
    <w:p>
      <w:pPr>
        <w:pStyle w:val="Heading2"/>
        <w:snapToGrid w:val="0"/>
      </w:pPr>
      <w:r>
        <w:t>定向计划和艰苦地区都不能只看标签</w:t>
      </w:r>
    </w:p>
    <w:p>
      <w:pPr>
        <w:snapToGrid w:val="0"/>
      </w:pPr>
      <w:r>
        <w:t>官方安排3000余个计划定向招录服务基层项目人员和符合条件的退役大学生士兵。[2] 要核对项目类型、服务期限、考核和身份条件。另一方面，职位表“西部地区和艰苦边远地区职位”类别由13,747人减至12,074人，下降12.17%。偏远不自动意味着容易，更不能把几年服务成本换算成一次报名的“捡漏”。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t>七 考试准备要跟着职位类别调整</w:t>
      </w:r>
    </w:p>
    <w:p>
      <w:pPr>
        <w:snapToGrid w:val="0"/>
      </w:pPr>
      <w:r>
        <w:t>2027年行政执法类计划28,212人，占79.04%；中央机关及其省级直属机构综合管理类2,690人，市地级及以下直属机构综合管理类4,789人。人数最多的行政执法类仍是备考主体，但考生应以拟报职位标注的考试类别选择训练材料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329"/>
        <w:gridCol w:w="1871"/>
        <w:gridCol w:w="1871"/>
      </w:tblGrid>
      <w:tr>
        <w:trPr>
          <w:cantSplit/>
          <w:tblHeader/>
        </w:trPr>
        <w:tc>
          <w:tcPr>
            <w:tcW w:type="dxa" w:w="5329"/>
            <w:vAlign w:val="center"/>
            <w:shd w:fill="E9EFF4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/>
                <w:sz w:val="18"/>
              </w:rPr>
              <w:t>公共科目考试类别</w:t>
            </w:r>
          </w:p>
        </w:tc>
        <w:tc>
          <w:tcPr>
            <w:tcW w:type="dxa" w:w="1871"/>
            <w:vAlign w:val="center"/>
            <w:shd w:fill="E9EFF4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/>
                <w:sz w:val="18"/>
              </w:rPr>
              <w:t>2026人数</w:t>
            </w:r>
          </w:p>
        </w:tc>
        <w:tc>
          <w:tcPr>
            <w:tcW w:type="dxa" w:w="1871"/>
            <w:vAlign w:val="center"/>
            <w:shd w:fill="E9EFF4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/>
                <w:sz w:val="18"/>
              </w:rPr>
              <w:t>2027人数</w:t>
            </w:r>
          </w:p>
        </w:tc>
      </w:tr>
      <w:tr>
        <w:trPr>
          <w:cantSplit/>
        </w:trPr>
        <w:tc>
          <w:tcPr>
            <w:tcW w:type="dxa" w:w="5329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 w:val="0"/>
                <w:sz w:val="18"/>
              </w:rPr>
              <w:t>行政执法类</w:t>
            </w:r>
          </w:p>
        </w:tc>
        <w:tc>
          <w:tcPr>
            <w:tcW w:type="dxa" w:w="1871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29,751</w:t>
            </w:r>
          </w:p>
        </w:tc>
        <w:tc>
          <w:tcPr>
            <w:tcW w:type="dxa" w:w="1871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28,212</w:t>
            </w:r>
          </w:p>
        </w:tc>
      </w:tr>
      <w:tr>
        <w:trPr>
          <w:cantSplit/>
        </w:trPr>
        <w:tc>
          <w:tcPr>
            <w:tcW w:type="dxa" w:w="5329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 w:val="0"/>
                <w:sz w:val="18"/>
              </w:rPr>
              <w:t>中央机关及其省级直属机构综合管理类</w:t>
            </w:r>
          </w:p>
        </w:tc>
        <w:tc>
          <w:tcPr>
            <w:tcW w:type="dxa" w:w="1871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3,167</w:t>
            </w:r>
          </w:p>
        </w:tc>
        <w:tc>
          <w:tcPr>
            <w:tcW w:type="dxa" w:w="1871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2,690</w:t>
            </w:r>
          </w:p>
        </w:tc>
      </w:tr>
      <w:tr>
        <w:trPr>
          <w:cantSplit/>
        </w:trPr>
        <w:tc>
          <w:tcPr>
            <w:tcW w:type="dxa" w:w="5329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 w:val="0"/>
                <w:sz w:val="18"/>
              </w:rPr>
              <w:t>市地级及以下直属机构综合管理类</w:t>
            </w:r>
          </w:p>
        </w:tc>
        <w:tc>
          <w:tcPr>
            <w:tcW w:type="dxa" w:w="1871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5,201</w:t>
            </w:r>
          </w:p>
        </w:tc>
        <w:tc>
          <w:tcPr>
            <w:tcW w:type="dxa" w:w="1871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4,789</w:t>
            </w:r>
          </w:p>
        </w:tc>
      </w:tr>
    </w:tbl>
    <w:p>
      <w:pPr>
        <w:spacing w:after="0" w:before="0" w:line="60" w:lineRule="exact"/>
        <w:snapToGrid w:val="0"/>
      </w:pPr>
      <w:r>
        <w:rPr>
          <w:sz w:val="6"/>
        </w:rPr>
      </w:r>
    </w:p>
    <w:p>
      <w:pPr>
        <w:snapToGrid w:val="0"/>
      </w:pPr>
      <w:r>
        <w:t>公共科目继续考查行测和申论，行测继续单列政治理论部分。[2] 申论训练应贴近所报类别的职责场景：行政执法重视依法办事、群众工作和执行问题；综合管理岗位应按相应大纲训练分析、归纳和文字表达。这里是备考方向建议，不是对未公布试题的预测。</w:t>
      </w:r>
    </w:p>
    <w:p>
      <w:pPr>
        <w:pStyle w:val="Heading2"/>
        <w:snapToGrid w:val="0"/>
      </w:pPr>
      <w:r>
        <w:t>专业科目笔试和专业能力测试要分清</w:t>
      </w:r>
    </w:p>
    <w:p>
      <w:pPr>
        <w:snapToGrid w:val="0"/>
      </w:pPr>
      <w:r>
        <w:t>根据2027年公告，金融监管总局及派出机构、证监会及派出机构相关职位的笔试合成中，行测、申论、专业科目分别占25%、25%、50%；公安机关人民警察职位分别占40%、30%、30%。[4] 专业科目占比高，意味着选岗时就要评估专业备考能力，而非报名之后才发现多一门考试。</w:t>
      </w:r>
    </w:p>
    <w:p>
      <w:pPr>
        <w:snapToGrid w:val="0"/>
      </w:pPr>
      <w:r>
        <w:t>职位表“是否在面试阶段组织专业能力测试”是另一项信息。2027年该项为“是”的有610个职位、1,023个计划；填“否”不能推导为不考专业科目笔试。报名时应同时核对公共科目类别、是否另考专业科目以及面试阶段测试安排。</w:t>
      </w:r>
    </w:p>
    <w:p>
      <w:pPr>
        <w:pStyle w:val="Heading2"/>
        <w:snapToGrid w:val="0"/>
      </w:pPr>
      <w:r>
        <w:t>当前能分析供给结构还不能断言竞争结果</w:t>
      </w:r>
    </w:p>
    <w:p>
      <w:pPr>
        <w:snapToGrid w:val="0"/>
      </w:pPr>
      <w:r>
        <w:t>文章形成时处于2027年报名初始阶段，没有可用于完整比较的2027年最终资格审查通过、缴费或实际参考人数。历史库虽然保存了部分报名信息，但缺少统一的截取时间与最终状态标识，因此本文不把这些数值拼成六年的平均竞争率，也不预测某岗今年必然多少分进面。</w:t>
      </w:r>
    </w:p>
    <w:p>
      <w:pPr>
        <w:snapToGrid w:val="0"/>
      </w:pPr>
      <w:r>
        <w:t>报名期间观察竞争，应注明统计时点和人数状态。资格审查通过人数÷计划人数，可以描述当时的审核竞争比；它仍不等于实际参考竞争比，更不等于个人录取概率。不同时间、不同状态的数字，不能放在同一张排行榜里比较。</w:t>
      </w:r>
    </w:p>
    <w:p>
      <w:pPr>
        <w:snapToGrid w:val="0"/>
      </w:pPr>
      <w:r>
        <w:t>2027年有8,451个职位只招1人，占职位数43.50%。多招几人的岗位通常给名次留出更多空间，但岗位热度也可能更高。招1人或招3人，都不能脱离考生群体、试卷类别和个人实力单独判断。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t>八 新一年报名建议</w:t>
      </w:r>
    </w:p>
    <w:p>
      <w:pPr>
        <w:pStyle w:val="Heading2"/>
        <w:snapToGrid w:val="0"/>
      </w:pPr>
      <w:r>
        <w:t>先建立本人能够报考的完整清单</w:t>
      </w:r>
    </w:p>
    <w:p>
      <w:pPr>
        <w:snapToGrid w:val="0"/>
      </w:pPr>
      <w:r>
        <w:t>先录入年龄、学历学位、毕业年份、完整专业名称与代码、政治面貌、基层经历、项目或退役身份等硬条件，再把英语、资格证、性别、体检要求、户籍生源和备注逐一核对。将“明确符合”“待招录机关确认”“明确不符”分开，待确认条目不能直接当作可报职位。</w:t>
      </w:r>
    </w:p>
    <w:p>
      <w:pPr>
        <w:snapToGrid w:val="0"/>
      </w:pPr>
      <w:r>
        <w:t>2027年一般年龄条件为18至38周岁，对2027年应届硕士、博士研究生放宽到43周岁，具体出生日期区间以公告为准。[3] 这一调整在2026年度已经实施，不应包装为2027年首次放宽；人民警察等岗位还须核对其专门年龄和资格要求。[5]</w:t>
      </w:r>
    </w:p>
    <w:p>
      <w:pPr>
        <w:pStyle w:val="Heading2"/>
        <w:snapToGrid w:val="0"/>
      </w:pPr>
      <w:r>
        <w:t>在可报范围内用自己的条件减少同质竞争</w:t>
      </w:r>
    </w:p>
    <w:p>
      <w:pPr>
        <w:snapToGrid w:val="0"/>
      </w:pPr>
      <w:r>
        <w:t>专业高度对口、证书齐全、有符合规定的行业或基层经历者，可以优先比较能够使用这些条件的岗位。限制较少的岗位提供更多选择，但也可能吸引更广的考生群体。限制多的职位同样可能集中过硬考生，因此“条件更匹配”应与考试能力和工作意愿一起衡量。</w:t>
      </w:r>
    </w:p>
    <w:p>
      <w:pPr>
        <w:snapToGrid w:val="0"/>
      </w:pPr>
      <w:r>
        <w:t>应届生应先查限本届及其他符合应届口径的岗位；往届生重点排除备注中隐藏的届别限制；在职考生提前准备经历与单位相关材料；专科生由于全国学历适配计划仅40人，应同步关注符合自身条件的省考、事业单位或其他公开招聘，避免把全年安排建立在极少数国考条目上。</w:t>
      </w:r>
    </w:p>
    <w:p>
      <w:pPr>
        <w:pStyle w:val="Heading2"/>
        <w:snapToGrid w:val="0"/>
      </w:pPr>
      <w:r>
        <w:t>把长期任职成本纳入比较</w:t>
      </w:r>
    </w:p>
    <w:p>
      <w:pPr>
        <w:snapToGrid w:val="0"/>
      </w:pPr>
      <w:r>
        <w:t>建议保留3至5个经过核实的备选，分别记录实际工作地点、职责、轮班或出差、最低服务年限、住宿安排以及与家庭的距离。对必须留在某地的考生，地点是前置约束；对愿意跨省的考生，省份计划增加可以拓宽选择，但应落实到具体市县和职位。备选清单服务于最终选择，正式报考按公告只能选择一个职位。</w:t>
      </w:r>
    </w:p>
    <w:p>
      <w:pPr>
        <w:pStyle w:val="Heading2"/>
        <w:snapToGrid w:val="0"/>
      </w:pPr>
      <w:r>
        <w:t>报名人数只用于最后比较并为审核留出时间</w:t>
      </w:r>
    </w:p>
    <w:p>
      <w:pPr>
        <w:snapToGrid w:val="0"/>
      </w:pPr>
      <w:r>
        <w:t>在条件和工作意愿都能接受的岗位之间，再比较同一时点的审查通过人数与计划人数，观察是否发生明显集中报名。不要因为某个早期快照显示零人就认定无人竞争，也不要为了等最后一次人数变化而错过注册认证或资格补正时间。</w:t>
      </w:r>
    </w:p>
    <w:p>
      <w:pPr>
        <w:snapToGrid w:val="0"/>
      </w:pPr>
      <w:r>
        <w:t>提交后应持续关注资格审查。按2027年公告，资格审查通过后不能再改报其他职位；在规定的提交申请窗口内，未审查或未通过的可以改报。[4] 因此应当先核实再提交，而不是把正式报名当成测试自己是否符合条件的试错工具。确认缴费是后续独立步骤，资格审查通过不等于全部报名手续完成。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t>九 报名时间表与最终判断</w:t>
      </w:r>
    </w:p>
    <w:p>
      <w:pPr>
        <w:snapToGrid w:val="0"/>
      </w:pPr>
      <w:r>
        <w:t>今年尤其需要区分注册实名认证和提交职位申请：前者10月14日开始、10月23日截止；后者10月15日开始、10月24日截止。只记一个“报名截止日”，可能错过前置认证。以下均为北京时间。[1]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948"/>
        <w:gridCol w:w="6123"/>
      </w:tblGrid>
      <w:tr>
        <w:trPr>
          <w:cantSplit/>
          <w:tblHeader/>
        </w:trPr>
        <w:tc>
          <w:tcPr>
            <w:tcW w:type="dxa" w:w="2948"/>
            <w:vAlign w:val="center"/>
            <w:shd w:fill="E9EFF4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/>
                <w:sz w:val="18"/>
              </w:rPr>
              <w:t>办理事项</w:t>
            </w:r>
          </w:p>
        </w:tc>
        <w:tc>
          <w:tcPr>
            <w:tcW w:type="dxa" w:w="6123"/>
            <w:vAlign w:val="center"/>
            <w:shd w:fill="E9EFF4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/>
                <w:sz w:val="18"/>
              </w:rPr>
              <w:t>时间</w:t>
            </w:r>
          </w:p>
        </w:tc>
      </w:tr>
      <w:tr>
        <w:trPr>
          <w:cantSplit/>
        </w:trPr>
        <w:tc>
          <w:tcPr>
            <w:tcW w:type="dxa" w:w="2948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 w:val="0"/>
                <w:sz w:val="18"/>
              </w:rPr>
              <w:t>注册和实名实人认证</w:t>
            </w:r>
          </w:p>
        </w:tc>
        <w:tc>
          <w:tcPr>
            <w:tcW w:type="dxa" w:w="6123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 w:val="0"/>
                <w:sz w:val="18"/>
              </w:rPr>
              <w:t>2026年10月14日08:00 至10月23日18:00</w:t>
            </w:r>
          </w:p>
        </w:tc>
      </w:tr>
      <w:tr>
        <w:trPr>
          <w:cantSplit/>
        </w:trPr>
        <w:tc>
          <w:tcPr>
            <w:tcW w:type="dxa" w:w="2948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 w:val="0"/>
                <w:sz w:val="18"/>
              </w:rPr>
              <w:t>提交报考申请</w:t>
            </w:r>
          </w:p>
        </w:tc>
        <w:tc>
          <w:tcPr>
            <w:tcW w:type="dxa" w:w="6123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 w:val="0"/>
                <w:sz w:val="18"/>
              </w:rPr>
              <w:t>2026年10月15日08:00 至10月24日18:00</w:t>
            </w:r>
          </w:p>
        </w:tc>
      </w:tr>
      <w:tr>
        <w:trPr>
          <w:cantSplit/>
        </w:trPr>
        <w:tc>
          <w:tcPr>
            <w:tcW w:type="dxa" w:w="2948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 w:val="0"/>
                <w:sz w:val="18"/>
              </w:rPr>
              <w:t>查询资格审查结果</w:t>
            </w:r>
          </w:p>
        </w:tc>
        <w:tc>
          <w:tcPr>
            <w:tcW w:type="dxa" w:w="6123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 w:val="0"/>
                <w:sz w:val="18"/>
              </w:rPr>
              <w:t>2026年10月15日08:00 至10月26日18:00</w:t>
            </w:r>
          </w:p>
        </w:tc>
      </w:tr>
      <w:tr>
        <w:trPr>
          <w:cantSplit/>
        </w:trPr>
        <w:tc>
          <w:tcPr>
            <w:tcW w:type="dxa" w:w="2948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 w:val="0"/>
                <w:sz w:val="18"/>
              </w:rPr>
              <w:t>查询报名序号</w:t>
            </w:r>
          </w:p>
        </w:tc>
        <w:tc>
          <w:tcPr>
            <w:tcW w:type="dxa" w:w="6123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center"/>
              <w:snapToGrid w:val="0"/>
            </w:pPr>
            <w:r>
              <w:rPr>
                <w:b w:val="0"/>
                <w:sz w:val="18"/>
              </w:rPr>
              <w:t>2026年10月28日08:00后</w:t>
            </w:r>
          </w:p>
        </w:tc>
      </w:tr>
      <w:tr>
        <w:trPr>
          <w:cantSplit/>
        </w:trPr>
        <w:tc>
          <w:tcPr>
            <w:tcW w:type="dxa" w:w="2948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 w:val="0"/>
                <w:sz w:val="18"/>
              </w:rPr>
              <w:t>网上确认及缴费</w:t>
            </w:r>
          </w:p>
        </w:tc>
        <w:tc>
          <w:tcPr>
            <w:tcW w:type="dxa" w:w="6123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 w:val="0"/>
                <w:sz w:val="18"/>
              </w:rPr>
              <w:t>2026年11月1日00:00 至11月6日24:00</w:t>
            </w:r>
          </w:p>
        </w:tc>
      </w:tr>
      <w:tr>
        <w:trPr>
          <w:cantSplit/>
        </w:trPr>
        <w:tc>
          <w:tcPr>
            <w:tcW w:type="dxa" w:w="2948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 w:val="0"/>
                <w:sz w:val="18"/>
              </w:rPr>
              <w:t>下载打印准考证</w:t>
            </w:r>
          </w:p>
        </w:tc>
        <w:tc>
          <w:tcPr>
            <w:tcW w:type="dxa" w:w="6123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 w:val="0"/>
                <w:sz w:val="18"/>
              </w:rPr>
              <w:t>2026年11月23日00:00 至11月29日15:00</w:t>
            </w:r>
          </w:p>
        </w:tc>
      </w:tr>
      <w:tr>
        <w:trPr>
          <w:cantSplit/>
        </w:trPr>
        <w:tc>
          <w:tcPr>
            <w:tcW w:type="dxa" w:w="2948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 w:val="0"/>
                <w:sz w:val="18"/>
              </w:rPr>
              <w:t>公安专业科目笔试</w:t>
            </w:r>
          </w:p>
        </w:tc>
        <w:tc>
          <w:tcPr>
            <w:tcW w:type="dxa" w:w="6123"/>
            <w:vAlign w:val="center"/>
            <w:shd w:fill="FFFFFF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 w:val="0"/>
                <w:sz w:val="18"/>
              </w:rPr>
              <w:t>2026年11月28日14:00 至16:00</w:t>
            </w:r>
          </w:p>
        </w:tc>
      </w:tr>
      <w:tr>
        <w:trPr>
          <w:cantSplit/>
        </w:trPr>
        <w:tc>
          <w:tcPr>
            <w:tcW w:type="dxa" w:w="2948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 w:val="0"/>
                <w:sz w:val="18"/>
              </w:rPr>
              <w:t>公共科目笔试</w:t>
            </w:r>
          </w:p>
        </w:tc>
        <w:tc>
          <w:tcPr>
            <w:tcW w:type="dxa" w:w="6123"/>
            <w:vAlign w:val="center"/>
            <w:shd w:fill="F6F8FA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after="0" w:line="270" w:lineRule="exact"/>
              <w:jc w:val="left"/>
              <w:snapToGrid w:val="0"/>
            </w:pPr>
            <w:r>
              <w:rPr>
                <w:b w:val="0"/>
                <w:sz w:val="18"/>
              </w:rPr>
              <w:t>2026年11月29日</w:t>
              <w:br/>
              <w:t>行测09:00 至11:00  申论14:00 至17:00</w:t>
            </w:r>
          </w:p>
        </w:tc>
      </w:tr>
    </w:tbl>
    <w:p>
      <w:pPr>
        <w:spacing w:after="0" w:before="0" w:line="60" w:lineRule="exact"/>
        <w:snapToGrid w:val="0"/>
      </w:pPr>
      <w:r>
        <w:rPr>
          <w:sz w:val="6"/>
        </w:rPr>
      </w:r>
    </w:p>
    <w:p>
      <w:pPr>
        <w:spacing w:line="260" w:lineRule="exact"/>
        <w:snapToGrid w:val="0"/>
      </w:pPr>
      <w:r>
        <w:rPr>
          <w:color w:val="52616E"/>
          <w:sz w:val="17"/>
        </w:rPr>
        <w:t>专业科目时间表此处列明公安类别；其他需要加试的职位须核对相应公告和准考证。遇官方更正，以更新后的安排为准。</w:t>
      </w:r>
    </w:p>
    <w:p>
      <w:pPr>
        <w:pStyle w:val="Heading2"/>
        <w:snapToGrid w:val="0"/>
      </w:pPr>
      <w:r>
        <w:t>对考生最有价值的变化是本人可报清单的变化</w:t>
      </w:r>
    </w:p>
    <w:p>
      <w:pPr>
        <w:snapToGrid w:val="0"/>
      </w:pPr>
      <w:r>
        <w:t>2027年国考的计划供给确实减少了，但不同系统、地区、专业和经历条件之间的变化并不一致。县区级及以下岗位减少4.58%，中央层级岗位减少20.18%；金融监管财会类增加，财经类减少；同一税务系统中也有扩招和缩招并存。用一个全国降幅判断个人机会，信息量远远不够。</w:t>
      </w:r>
    </w:p>
    <w:p>
      <w:pPr>
        <w:snapToGrid w:val="0"/>
      </w:pPr>
      <w:r>
        <w:t>对有资格优势的考生，应把优势落实到具体条目；对资格范围较窄的考生，应尽早扩大地区或考试渠道；对已经找到适配岗位的考生，应及时回到相应试卷和专业科目的训练。选岗的目标，是找到资格确定、能力适配、长期工作可以接受的职位，并据此完成稳定的备考。</w:t>
      </w:r>
    </w:p>
    <w:p>
      <w:pPr>
        <w:snapToGrid w:val="0"/>
      </w:pPr>
      <w:r>
        <w:t>当前最负责任的建议，是在当年原始职位表基础上做充分筛选，为审核留出时间，再根据真实、同口径的报名变化作最后比较。计划表可以帮助识别机会所在，最终的竞争情况仍要等报名和考试数据逐步形成。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t>数据口径与来源</w:t>
      </w:r>
    </w:p>
    <w:p>
      <w:pPr>
        <w:snapToGrid w:val="0"/>
      </w:pPr>
      <w:r>
        <w:t>本文面向考生和规划师，统计部分使用蜻蜓平台2022至2027年度国考职位表。2027年度来自本次提供的国家公务员局招考简章Excel文件，并与数据库导入结果核对：19,426个职位、35,691人。六年共114,298条记录；按年度、部门代码和职位代码检查未发现重复键。分析截点为2026年10月14日，后续调整和补录不在本次范围内。</w:t>
      </w:r>
    </w:p>
    <w:p>
      <w:pPr>
        <w:snapToGrid w:val="0"/>
      </w:pPr>
      <w:r>
        <w:t>部门对照以部门代码为索引，保留各年实际名称。跨年代码、机构和名称变化不等同于机构设立撤销。系统分类是本次分析的归类方法；人民银行等涉及组织和招录范围变化的系统，不以早年表内数量代替全系统招聘规模。学历统计按职位要求拆解，“本科及以上”等会同时适配多种学历，相关人数不能跨学历相加。</w:t>
      </w:r>
    </w:p>
    <w:p>
      <w:pPr>
        <w:snapToGrid w:val="0"/>
      </w:pPr>
      <w:r>
        <w:t>专业判断保留原文与学段，未把专业关键词命中数当作某专业考生真实可报数。缺失的报名人数不填零，历史竞争数据因缺少统一时点未用于跨年结论。文中“适配”“更友好”指计划和条件层面的分析，不构成资格审核结论或录用概率估计。</w:t>
      </w:r>
    </w:p>
    <w:p>
      <w:pPr>
        <w:pStyle w:val="Heading2"/>
        <w:snapToGrid w:val="0"/>
      </w:pPr>
      <w:r>
        <w:t>官方政策与时间来源</w:t>
      </w:r>
    </w:p>
    <w:p>
      <w:pPr>
        <w:spacing w:after="100"/>
        <w:snapToGrid w:val="0"/>
      </w:pPr>
      <w:hyperlink r:id="rId11">
        <w:r>
          <w:rPr>
            <w:color w:val="215D86"/>
            <w:sz w:val="18"/>
          </w:rPr>
          <w:t>[1] 国家移民管理机构2027年度考试录用公务员公告  2026年10月13日</w:t>
        </w:r>
      </w:hyperlink>
    </w:p>
    <w:p>
      <w:pPr>
        <w:spacing w:after="100"/>
        <w:snapToGrid w:val="0"/>
      </w:pPr>
      <w:hyperlink r:id="rId12">
        <w:r>
          <w:rPr>
            <w:color w:val="215D86"/>
            <w:sz w:val="18"/>
          </w:rPr>
          <w:t>[2] 司法部智慧普法转载国考2027年度招录信息  2026年10月13日</w:t>
        </w:r>
      </w:hyperlink>
    </w:p>
    <w:p>
      <w:pPr>
        <w:spacing w:after="100"/>
        <w:snapToGrid w:val="0"/>
      </w:pPr>
      <w:hyperlink r:id="rId13">
        <w:r>
          <w:rPr>
            <w:color w:val="215D86"/>
            <w:sz w:val="18"/>
          </w:rPr>
          <w:t>[3] 人民网2027年度国考招录及年龄条件介绍  2026年10月13日</w:t>
        </w:r>
      </w:hyperlink>
    </w:p>
    <w:p>
      <w:pPr>
        <w:spacing w:after="100"/>
        <w:snapToGrid w:val="0"/>
      </w:pPr>
      <w:hyperlink r:id="rId14">
        <w:r>
          <w:rPr>
            <w:color w:val="215D86"/>
            <w:sz w:val="18"/>
          </w:rPr>
          <w:t>[4] 国家公务员局2027年度招录公告 新华网转载  2026年10月13日</w:t>
        </w:r>
      </w:hyperlink>
    </w:p>
    <w:p>
      <w:pPr>
        <w:spacing w:after="100"/>
        <w:snapToGrid w:val="0"/>
      </w:pPr>
      <w:hyperlink r:id="rId15">
        <w:r>
          <w:rPr>
            <w:color w:val="215D86"/>
            <w:sz w:val="18"/>
          </w:rPr>
          <w:t>[5] 北京市政府2026年度国考报考年龄调整介绍  2025年10月15日</w:t>
        </w:r>
      </w:hyperlink>
    </w:p>
    <w:p>
      <w:pPr>
        <w:spacing w:after="100"/>
        <w:snapToGrid w:val="0"/>
      </w:pPr>
      <w:hyperlink r:id="rId16">
        <w:r>
          <w:rPr>
            <w:color w:val="215D86"/>
            <w:sz w:val="18"/>
          </w:rPr>
          <w:t>[6] 外交部2027年度公务员考录常见问题解答  2026年10月13日</w:t>
        </w:r>
      </w:hyperlink>
    </w:p>
    <w:p>
      <w:pPr>
        <w:spacing w:after="100"/>
        <w:snapToGrid w:val="0"/>
      </w:pPr>
      <w:hyperlink r:id="rId17">
        <w:r>
          <w:rPr>
            <w:color w:val="215D86"/>
            <w:sz w:val="18"/>
          </w:rPr>
          <w:t>国家公务员局2027年度考试录用公务员专题网站</w:t>
        </w:r>
      </w:hyperlink>
    </w:p>
    <w:p>
      <w:pPr>
        <w:pStyle w:val="Heading2"/>
        <w:snapToGrid w:val="0"/>
      </w:pPr>
      <w:r>
        <w:t>随文数据附表</w:t>
      </w:r>
    </w:p>
    <w:p>
      <w:pPr>
        <w:snapToGrid w:val="0"/>
      </w:pPr>
      <w:r>
        <w:t>附表一为1,090组历史部门代码的2022至2027年度职位数和计划人数对照，含各年实际名称。附表二为2026、2027年度27,935组职位编码并集，保留两年的机关、用人司局、名称、人数、专业、学历、政治面貌、经历、地点和备注。表中仅单年出现的编码不能直接称为永久新增或取消岗位。</w:t>
      </w:r>
    </w:p>
    <w:p>
      <w:pPr>
        <w:spacing w:line="260" w:lineRule="exact"/>
        <w:snapToGrid w:val="0"/>
      </w:pPr>
      <w:r>
        <w:rPr>
          <w:color w:val="52616E"/>
          <w:sz w:val="17"/>
        </w:rPr>
        <w:t>CSV文件用Excel导入时请将部门代码和职位代码设为文本，保留前导零。数字统计来自职位表，不使用网络培训机构估算替代。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417" w:bottom="964" w:left="1417" w:header="425" w:footer="425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  <w:snapToGrid w:val="0"/>
    </w:pPr>
    <w:r>
      <w:rPr>
        <w:sz w:val="16"/>
      </w:rPr>
      <w:t xml:space="preserve">2026年10月14日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napToGrid w:val="0"/>
    </w:pPr>
    <w:r>
      <w:rPr>
        <w:sz w:val="16"/>
      </w:rPr>
      <w:t>蜻蜓生涯研究院  |  2027国考招录分析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cstheme="minorBidi" w:eastAsia="Songti SC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340" w:lineRule="exact" w:after="140"/>
    </w:pPr>
    <w:rPr>
      <w:rFonts w:ascii="Arial" w:hAnsi="Arial" w:eastAsia="Songti SC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 w:line="448" w:lineRule="exact"/>
      <w:outlineLvl w:val="0"/>
    </w:pPr>
    <w:rPr>
      <w:rFonts w:cstheme="majorBidi" w:ascii="Arial" w:hAnsi="Arial" w:eastAsia="Songti SC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336" w:lineRule="exact"/>
      <w:outlineLvl w:val="1"/>
    </w:pPr>
    <w:rPr>
      <w:rFonts w:cstheme="majorBidi" w:ascii="Arial" w:hAnsi="Arial" w:eastAsia="Songti SC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 w:eastAsia="Songti SC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 w:eastAsia="Songti SC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 w:eastAsia="Songti SC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 w:eastAsia="Songti SC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 w:eastAsia="Songti SC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 w:eastAsia="Songti SC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 w:eastAsia="Songti SC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 w:eastAsia="Songti SC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 w:eastAsia="Songti SC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 w:eastAsia="Songti SC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644" w:lineRule="exact"/>
      <w:contextualSpacing/>
    </w:pPr>
    <w:rPr>
      <w:rFonts w:cstheme="majorBidi" w:ascii="Arial" w:hAnsi="Arial" w:eastAsia="Songti SC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 w:eastAsia="Songti SC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cstheme="majorBidi" w:eastAsia="Songti SC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 w:eastAsia="Songti SC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 w:eastAsia="Songti SC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 w:eastAsia="Songti SC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 w:eastAsia="Songti SC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 w:eastAsia="Songti SC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 w:eastAsia="Songti SC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 w:eastAsia="Songti SC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 w:eastAsia="Songti SC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 w:eastAsia="Songti SC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 w:eastAsia="Songti SC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 w:eastAsia="Songti SC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 w:eastAsia="Songti SC"/>
        <w:b/>
        <w:bCs/>
      </w:rPr>
    </w:tblStylePr>
    <w:tblStylePr w:type="lastCol">
      <w:rPr>
        <w:rFonts w:cstheme="majorBidi" w:eastAsia="Songti SC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 w:eastAsia="Songti SC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 w:eastAsia="Songti SC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 w:eastAsia="Songti SC"/>
        <w:b/>
        <w:bCs/>
      </w:rPr>
    </w:tblStylePr>
    <w:tblStylePr w:type="lastCol">
      <w:rPr>
        <w:rFonts w:cstheme="majorBidi" w:eastAsia="Songti SC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 w:eastAsia="Songti SC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 w:eastAsia="Songti SC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 w:eastAsia="Songti SC"/>
        <w:b/>
        <w:bCs/>
      </w:rPr>
    </w:tblStylePr>
    <w:tblStylePr w:type="lastCol">
      <w:rPr>
        <w:rFonts w:cstheme="majorBidi" w:eastAsia="Songti SC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 w:eastAsia="Songti SC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 w:eastAsia="Songti SC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 w:eastAsia="Songti SC"/>
        <w:b/>
        <w:bCs/>
      </w:rPr>
    </w:tblStylePr>
    <w:tblStylePr w:type="lastCol">
      <w:rPr>
        <w:rFonts w:cstheme="majorBidi" w:eastAsia="Songti SC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 w:eastAsia="Songti SC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 w:eastAsia="Songti SC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 w:eastAsia="Songti SC"/>
        <w:b/>
        <w:bCs/>
      </w:rPr>
    </w:tblStylePr>
    <w:tblStylePr w:type="lastCol">
      <w:rPr>
        <w:rFonts w:cstheme="majorBidi" w:eastAsia="Songti SC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 w:eastAsia="Songti SC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 w:eastAsia="Songti SC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 w:eastAsia="Songti SC"/>
        <w:b/>
        <w:bCs/>
      </w:rPr>
    </w:tblStylePr>
    <w:tblStylePr w:type="lastCol">
      <w:rPr>
        <w:rFonts w:cstheme="majorBidi" w:eastAsia="Songti SC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 w:eastAsia="Songti SC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 w:eastAsia="Songti SC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 w:eastAsia="Songti SC"/>
        <w:b/>
        <w:bCs/>
      </w:rPr>
    </w:tblStylePr>
    <w:tblStylePr w:type="lastCol">
      <w:rPr>
        <w:rFonts w:cstheme="majorBidi" w:eastAsia="Songti SC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 w:eastAsia="Songti SC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 w:eastAsia="Songti SC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 w:eastAsia="Songti SC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 w:eastAsia="Songti SC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 w:eastAsia="Songti SC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 w:eastAsia="Songti SC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 w:eastAsia="Songti SC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 w:eastAsia="Songti S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 w:eastAsia="Songti S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 w:eastAsia="Songti S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 w:eastAsia="Songti S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 w:eastAsia="Songti S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 w:eastAsia="Songti S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 w:eastAsia="Songti S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 w:eastAsia="Songti S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 w:eastAsia="Songti S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 w:eastAsia="Songti S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 w:eastAsia="Songti S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 w:eastAsia="Songti S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 w:eastAsia="Songti S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 w:eastAsia="Songti S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nia.gov.cn/n741440/n741542/c1818347/content.html" TargetMode="External"/><Relationship Id="rId12" Type="http://schemas.openxmlformats.org/officeDocument/2006/relationships/hyperlink" Target="https://legalinfo.moj.gov.cn/zhfxfzzx/fzzxyw/202610/t20261013_540645.html" TargetMode="External"/><Relationship Id="rId13" Type="http://schemas.openxmlformats.org/officeDocument/2006/relationships/hyperlink" Target="https://edu.people.com.cn/n1/2026/1013/c1006-40813765.html" TargetMode="External"/><Relationship Id="rId14" Type="http://schemas.openxmlformats.org/officeDocument/2006/relationships/hyperlink" Target="https://www3.xinhuanet.com/edu/20261013/ce6bf7dc36474dd68ecd90aa8b722f06/c.html" TargetMode="External"/><Relationship Id="rId15" Type="http://schemas.openxmlformats.org/officeDocument/2006/relationships/hyperlink" Target="https://www.beijing.gov.cn/fuwu/bmfw/sy/jrts/202510/t20251015_4224547.html" TargetMode="External"/><Relationship Id="rId16" Type="http://schemas.openxmlformats.org/officeDocument/2006/relationships/hyperlink" Target="https://www.fmprc.gov.cn/web/wjb_673085/gbclc_603848/bkzn_660695/202610/t20261013_12039481.shtml" TargetMode="External"/><Relationship Id="rId17" Type="http://schemas.openxmlformats.org/officeDocument/2006/relationships/hyperlink" Target="http://bm.scs.gov.cn/kl202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2027国考招录变化与报名策略分析</dc:title>
  <dc:subject/>
  <dc:creator>蜻蜓生涯研究院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